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7F4" w:rsidRDefault="001B47F4" w:rsidP="001B47F4">
      <w:pPr>
        <w:tabs>
          <w:tab w:val="left" w:pos="708"/>
          <w:tab w:val="left" w:pos="1416"/>
          <w:tab w:val="left" w:pos="2674"/>
        </w:tabs>
        <w:spacing w:after="0" w:line="240" w:lineRule="auto"/>
        <w:ind w:firstLine="540"/>
        <w:jc w:val="center"/>
        <w:rPr>
          <w:rFonts w:ascii="Times New Roman" w:hAnsi="Times New Roman"/>
          <w:b/>
          <w:sz w:val="28"/>
          <w:szCs w:val="28"/>
        </w:rPr>
      </w:pPr>
      <w:r>
        <w:rPr>
          <w:rFonts w:ascii="Times New Roman" w:hAnsi="Times New Roman"/>
          <w:b/>
          <w:sz w:val="28"/>
          <w:szCs w:val="28"/>
        </w:rPr>
        <w:t>Д</w:t>
      </w:r>
      <w:r>
        <w:rPr>
          <w:rFonts w:ascii="Times New Roman" w:hAnsi="Times New Roman"/>
          <w:b/>
          <w:sz w:val="28"/>
          <w:szCs w:val="28"/>
          <w:lang w:val="kk-KZ"/>
        </w:rPr>
        <w:t>Ә</w:t>
      </w:r>
      <w:proofErr w:type="gramStart"/>
      <w:r>
        <w:rPr>
          <w:rFonts w:ascii="Times New Roman" w:hAnsi="Times New Roman"/>
          <w:b/>
          <w:sz w:val="28"/>
          <w:szCs w:val="28"/>
          <w:lang w:val="kk-KZ"/>
        </w:rPr>
        <w:t>Р</w:t>
      </w:r>
      <w:proofErr w:type="gramEnd"/>
      <w:r>
        <w:rPr>
          <w:rFonts w:ascii="Times New Roman" w:hAnsi="Times New Roman"/>
          <w:b/>
          <w:sz w:val="28"/>
          <w:szCs w:val="28"/>
          <w:lang w:val="kk-KZ"/>
        </w:rPr>
        <w:t xml:space="preserve">ІС </w:t>
      </w:r>
      <w:r>
        <w:rPr>
          <w:rFonts w:ascii="Times New Roman" w:hAnsi="Times New Roman"/>
          <w:b/>
          <w:sz w:val="28"/>
          <w:szCs w:val="28"/>
        </w:rPr>
        <w:t>11</w:t>
      </w:r>
    </w:p>
    <w:p w:rsidR="001B47F4" w:rsidRPr="003D710F" w:rsidRDefault="001B47F4" w:rsidP="001B47F4">
      <w:pPr>
        <w:tabs>
          <w:tab w:val="left" w:pos="708"/>
          <w:tab w:val="left" w:pos="1416"/>
          <w:tab w:val="left" w:pos="2674"/>
        </w:tabs>
        <w:spacing w:after="0" w:line="240" w:lineRule="auto"/>
        <w:ind w:firstLine="540"/>
        <w:jc w:val="center"/>
        <w:rPr>
          <w:rFonts w:ascii="Times New Roman" w:hAnsi="Times New Roman"/>
          <w:b/>
          <w:sz w:val="28"/>
          <w:szCs w:val="28"/>
        </w:rPr>
      </w:pPr>
    </w:p>
    <w:p w:rsidR="001B47F4" w:rsidRPr="00DE3D5C" w:rsidRDefault="001B47F4" w:rsidP="001B47F4">
      <w:pPr>
        <w:tabs>
          <w:tab w:val="left" w:pos="708"/>
          <w:tab w:val="left" w:pos="1416"/>
          <w:tab w:val="left" w:pos="2674"/>
        </w:tabs>
        <w:spacing w:after="0" w:line="240" w:lineRule="auto"/>
        <w:ind w:firstLine="540"/>
        <w:jc w:val="center"/>
        <w:rPr>
          <w:rFonts w:ascii="Times New Roman" w:hAnsi="Times New Roman"/>
          <w:b/>
          <w:sz w:val="28"/>
          <w:szCs w:val="28"/>
          <w:lang w:val="kk-KZ"/>
        </w:rPr>
      </w:pPr>
      <w:r w:rsidRPr="00DE3D5C">
        <w:rPr>
          <w:rFonts w:ascii="Times New Roman" w:hAnsi="Times New Roman"/>
          <w:b/>
          <w:sz w:val="28"/>
          <w:szCs w:val="28"/>
          <w:lang w:val="kk-KZ"/>
        </w:rPr>
        <w:t>Концентрациялау (жыйнағыш) столдарда байыту</w:t>
      </w:r>
    </w:p>
    <w:p w:rsidR="001B47F4" w:rsidRPr="00DE3D5C" w:rsidRDefault="001B47F4" w:rsidP="001B47F4">
      <w:pPr>
        <w:tabs>
          <w:tab w:val="left" w:pos="708"/>
          <w:tab w:val="left" w:pos="1416"/>
          <w:tab w:val="left" w:pos="2674"/>
        </w:tabs>
        <w:spacing w:after="0" w:line="240" w:lineRule="auto"/>
        <w:ind w:firstLine="540"/>
        <w:jc w:val="center"/>
        <w:rPr>
          <w:rFonts w:ascii="Times New Roman" w:hAnsi="Times New Roman"/>
          <w:b/>
          <w:sz w:val="28"/>
          <w:szCs w:val="28"/>
          <w:lang w:val="kk-KZ"/>
        </w:rPr>
      </w:pP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Концентрациялау столдарында (СК) байыту принципі  ерте замандардан белгілі.  Ал қазір бұл поцесс отсадкамен қатар кеңінен қолданылады. Байытылатын кенде түйіршіктердің диаметрі 4-5мм-ден артпау керек.  Олар көбінде қалайының, вольфрамның, алтынның және сирек кездесетін металдардың шашыранды кендерін байыту, ал олар түпкі кен орындарынан алынса онда жоғарыда көрсетілген ірілікке дейін ұсатылғанда (ұнтақталса) қолданылады.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Концентрациялау столдарында әртүрлі минералдар ілгерінді – кейінді ассиметриялық тербелісте болатын еңкіш жазық стол бетінде (дека) ағатын жұқа су қабатында тығыздықтарының айырмашылығына қарай бөлінеді. Су столдың қозғалысына көлденең  бағытта ағады.</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Минералдардың бұл процесте қандай күштердің әсерімен бөлінетінін талдау үшін концентрациялау столының құрылысы  және кейбір ерекшеліктерін білу қажет.  Дүниежүзілік тәжірибеде  концентрациялау столдарының  бірсыпыра конструкциялары кездеседі. Оларды кейбір белгілеріне  қарай топтастыруға болады.  Алдымен олар қозғалмалы және қозғалмайтын  столдарға бөлінеді. Іс жүзінде  қозғалмалы столдар  қолданылады.  Бұлардың өнімділігі  қозғалмайтындармен салыстырғанда көп артық.</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Қозғалмалы столдардың  бірнеше түрі бар. Олардың ішіндегі ең көп тарағаны  үздіксіз жұмыс істейтін тербелгіш  концентрациялау столдары. 35-суретте концентрациялау столының схемалы көрінісі келтірілген.</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Столдардың негізгі бөлшегі – беті линолиуммен қапталған трапеция пішінді жазық  бет –дека 1.  ол төрт не алты жерден  қойылған тіректерден 7 ілгері –кейін сырғып жылжиды  және арнаулы қондырғы – кранды механизм арқылы көлбеулігі өзгертіледі.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5486400" cy="21799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86400" cy="2179955"/>
                    </a:xfrm>
                    <a:prstGeom prst="rect">
                      <a:avLst/>
                    </a:prstGeom>
                    <a:noFill/>
                    <a:ln>
                      <a:noFill/>
                    </a:ln>
                  </pic:spPr>
                </pic:pic>
              </a:graphicData>
            </a:graphic>
          </wp:inline>
        </w:drawing>
      </w:r>
    </w:p>
    <w:p w:rsidR="001B47F4" w:rsidRPr="00DE3D5C" w:rsidRDefault="001B47F4" w:rsidP="001B47F4">
      <w:pPr>
        <w:tabs>
          <w:tab w:val="left" w:pos="708"/>
          <w:tab w:val="left" w:pos="1416"/>
          <w:tab w:val="left" w:pos="2674"/>
        </w:tabs>
        <w:spacing w:after="0" w:line="240" w:lineRule="auto"/>
        <w:ind w:firstLine="720"/>
        <w:jc w:val="center"/>
        <w:rPr>
          <w:rFonts w:ascii="Times New Roman" w:hAnsi="Times New Roman"/>
          <w:sz w:val="28"/>
          <w:szCs w:val="28"/>
          <w:lang w:val="kk-KZ"/>
        </w:rPr>
      </w:pPr>
      <w:r w:rsidRPr="00DE3D5C">
        <w:rPr>
          <w:rFonts w:ascii="Times New Roman" w:hAnsi="Times New Roman"/>
          <w:sz w:val="28"/>
          <w:szCs w:val="28"/>
          <w:lang w:val="kk-KZ"/>
        </w:rPr>
        <w:t>35-сурет. Жыйнағыш столдың үстінен (а) және қырынан (б) көрінісі: 1-дека; 2- қозғалтқыш механизм; 3- электро қозғалтқыш; 4- кен түсетін науа; 6- рафилдер; 7- тірек.</w:t>
      </w:r>
    </w:p>
    <w:p w:rsidR="001B47F4" w:rsidRPr="00DE3D5C" w:rsidRDefault="001B47F4" w:rsidP="001B47F4">
      <w:pPr>
        <w:tabs>
          <w:tab w:val="left" w:pos="708"/>
          <w:tab w:val="left" w:pos="1416"/>
          <w:tab w:val="left" w:pos="2674"/>
        </w:tabs>
        <w:spacing w:after="0" w:line="240" w:lineRule="auto"/>
        <w:ind w:firstLine="720"/>
        <w:jc w:val="center"/>
        <w:rPr>
          <w:rFonts w:ascii="Times New Roman" w:hAnsi="Times New Roman"/>
          <w:sz w:val="28"/>
          <w:szCs w:val="28"/>
          <w:lang w:val="kk-KZ"/>
        </w:rPr>
      </w:pP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lastRenderedPageBreak/>
        <w:t>Деканың жоғарғы шеткі ұзын бойына науашық орналасқан.  Ол екіге бөлінген. Қысқасына 4 сумен араласқан кен түседі, ал ұзын  бөлігіне 5 су түседі. Дека бетіне ағаштан не резеңкеден  қойылған планкалар – рифлдер  6 орнатылған.  Деканың жоғарғы басына  ең қысқа рифл орнатылып, төменгі бағытта олар  біртіндеп ұзара береді. Ең төменде орналасқан рифлдердің ұзындығы дека ұзындығымен  бірдей дерлік. Рифлдердің биіктігі де  екі бағытта  өзгереді.  Оладың әрқайсысының биіктігі деканың  кен түсетін басында   белгілі мөлшерде болса,  деканың екінші басына  созылған бағытты біртіндеп  аласарып,  ақырында жоқтың қасына айналады.  Сол сияқты олардың  биіктігі жоғарыдан төмендеген сайын (демек көлденең бағыта) біртіндеп өсе береді. Рифлдердің биіктігінің  бұлай өзгеруі минералдардың жақсы бөлінуіне әсер етеді.</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Дека арнаулы  қозғалтқыш механизм  2 арқылы  ілгерілі-кейінді жүріс алады. Оның валы шкив арқылы мотормен 3 жалғасқан. Қозғалтқыш механизмнің  қажеті де және ерекшклігі сонда  дека алға қарай  аздау жылдамдықен, ал кейін қарай  үлкен жылдамдықпен  жылжиды, демек </w:t>
      </w:r>
      <w:r w:rsidRPr="00DE3D5C">
        <w:rPr>
          <w:rFonts w:ascii="Times New Roman" w:hAnsi="Times New Roman"/>
          <w:position w:val="-28"/>
          <w:sz w:val="28"/>
          <w:szCs w:val="28"/>
        </w:rPr>
        <w:object w:dxaOrig="72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35.25pt" o:ole="">
            <v:imagedata r:id="rId6" o:title=""/>
          </v:shape>
          <o:OLEObject Type="Embed" ProgID="Equation.3" ShapeID="_x0000_i1025" DrawAspect="Content" ObjectID="_1484132470" r:id="rId7"/>
        </w:object>
      </w:r>
      <w:r w:rsidRPr="00DE3D5C">
        <w:rPr>
          <w:rFonts w:ascii="Times New Roman" w:hAnsi="Times New Roman"/>
          <w:sz w:val="28"/>
          <w:szCs w:val="28"/>
          <w:lang w:val="kk-KZ"/>
        </w:rPr>
        <w:t>. Алға жылжу кезінде деканың жылдамдық қозғалысы біртіндеп өседі, демек үдеуі арта түседі. Үдеу әсері дека үстіндегі түйіршіктерге де беріледі.  Дека алға жылжығанда белгілі қашықтықта кенет тоқталады да тез кері бағытта  қозғалысқа келтіріледі. Осы кезде түйіршіктер үдеу күшімен  дека үстінде ілгері бағытта жылжып кетеді.</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Столдарда  қозғалтқыш мезанизмнің екі түрі қолданылады. Ірі столдарда дека кулачокты  механизммен, ал кішілерінде  кергіш плиталары бар механизм қозғалысқа келтіреді.  Осы екі әдісте  деканың кейінгі бағытта тез жылдамдықпен  қозғалуы серіппенің  көмегімен жүргізіледі.</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Үдеу күші  деканың қозғалу  қашықтығымен анықталады. Әдетте ол қашықтық 5-</w:t>
      </w:r>
      <w:smartTag w:uri="urn:schemas-microsoft-com:office:smarttags" w:element="metricconverter">
        <w:smartTagPr>
          <w:attr w:name="ProductID" w:val="20 мм"/>
        </w:smartTagPr>
        <w:r w:rsidRPr="00DE3D5C">
          <w:rPr>
            <w:rFonts w:ascii="Times New Roman" w:hAnsi="Times New Roman"/>
            <w:sz w:val="28"/>
            <w:szCs w:val="28"/>
            <w:lang w:val="kk-KZ"/>
          </w:rPr>
          <w:t>20 мм</w:t>
        </w:r>
      </w:smartTag>
      <w:r w:rsidRPr="00DE3D5C">
        <w:rPr>
          <w:rFonts w:ascii="Times New Roman" w:hAnsi="Times New Roman"/>
          <w:sz w:val="28"/>
          <w:szCs w:val="28"/>
          <w:lang w:val="kk-KZ"/>
        </w:rPr>
        <w:t xml:space="preserve"> аралығында өзгереді. Түйіршіктер диаметрі артқан сайын леканың қозғалу  қашықтығында  үлкейту қажет. Ол қозғалтқыш механизмдегі арнаулы  тетікті реттеу арқылы өзгертіледі. Оның өзгеруіне сәйкес тербеліс жылдамдығы да өзгертіліп отырады. Әдетте  тербеліс жылдамдығы  минутына 230-350 аралығында болады. Қозғалу қашықтығы үлкейтілгенде  тербеліс жылдамдығы  азайтылады.</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Енді дека үстіне түскен минерал түйіршіктерінің бөліну процесін талдайық. Алдымен оларға қандай күштердің  қалай әсер ететінін қарастырайық. Бірінші –екпінді күштің пайда болу жайы жоғарыда сипатталады. Оның түйіршіктерге тигізетін әсері  олардың дека үстінде орналасуына байланысты. Түйіршіктің декамен бірге алған жылжу жылдамдығы неғұрлым жоғары болса, соғұрлым үдеу күшінің әсері артады. Осы тұрғыдан қарасақ тікелей дека  үстінде жатқан түйіршіктердің (яғни ең астыңғы қабатқа орналасқан)  алға жылжу жылдамдығы деканың жылжу жылдамдығымен бірдей.  Ал ең жоғары қабаттағы түйіршіктер судың  қопсыту күшімен  қалқымалы күйде болады, декамен тікелей байланыстары жоқ. Сондықтан олардың алға  жылжу жылдамдығы аз, кейде тіпті жылжымауы мүмкін. Сонымен астыңғы  қабаттардағы түйіршіктерге  үдеу </w:t>
      </w:r>
      <w:r w:rsidRPr="00DE3D5C">
        <w:rPr>
          <w:rFonts w:ascii="Times New Roman" w:hAnsi="Times New Roman"/>
          <w:sz w:val="28"/>
          <w:szCs w:val="28"/>
          <w:lang w:val="kk-KZ"/>
        </w:rPr>
        <w:lastRenderedPageBreak/>
        <w:t xml:space="preserve">күшінң әсері зор, ал үстіңгі  қабаттардағыларға аз.  Осыған байланысты түйіршіктердің дека үстінде тік бағытта орналасу тәртібін қарасақ астыңғы қабатта ең ұсақ түйіршіктер, ал үстіңгі қабаттарда ең ірі түйіршіктердің орналасқанын көруге болады.  Бұл құбылыс с е г р е г а ц и я   деп аталады.  Сондықтан екі минералды тиімді бөлудің бір шарты олардың түйіршіктерінің  диаметрлерінің әртүрлі  болуы.  Ол мақсатқа жету үшін зат  столға түсер алдында арнаулы дайындықтан өтеді, дәл айтсақ бірдей шөгу принципімен  классификацияланады. Классификацияның бұл түрі және соның нәтижесінде алынатын  кластардың ерекшелігі 6-тарауда сипатталған. Әдетте класс ішінде тығыздығы үлкен минерал түйіршіктерінің диаметрі кіші болады. Сондықтан олар астыңғы қабатқа орналасады.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Екінші күш  дека үстіне түсіп көлденең бағытта ағатын судың  ағызу күші. Науаға түскен су лека бетіне түгел жайылып  бір қалыпты ағынмен ағуы керек. Оның біркелкі жайылып ағуы науа ішіне орнатылған арнаулы  тиектермен реттеледі.  Судың ағызу күші әрине, үстіңгі  қабаттардағы  түйіршіктерге үлкен әсер етеді. Сондықтан онда орналасқан  тығыздығы кіші ірі диаметрлі минерал түйіршіктері  көлденңе бағытта , яғни  төмен қарай жылдам ағады.  Ал астыңғы қабаттағы  диаметрлері кіші , тығыздығы үлкен минерал түйіршіктері  бұл бағытта аз жылдамдықпен ағады.  Оған тағы үлкен  себеп болатын  жай-рифлдердің астыңғы қабаттың ағуына кедергі жасауы. Осыған байланысты жоғарғы рифлдердің  аласа жасалуы ірі түйіршіктердің тезірек ағып, астыңғы қабаттың олардан тазалануына көп әсер етеді.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Сипатталған екі күштің әсері және олардың қосындысынан туатын  тең әсерлі күштің әртүрлі тығыздықты және диаметрлі минерал түйіршіктеріне беретін бағыты схемалы түрде 36-суретте  көрсетілген. Кіші диаметрлі үлкен тығыздықты  минерал түйіршік  үдеу күші әсерімен алға үлкен жылдамдықпен жылжиды да, ал судың ағызу күші әсерімен көлденең бағытта ақырын жылжиды.  Соның нәтижесінде тең  әсерлі күштің бағытымен ол деканың  екінші көлденең  шетіне детеді.  Ол үлкен диаметрлі жеңіл тығыздықты  минерал түйіршігі  тең әсерлі күштің бағытына сәйкес қоөғалып  деканың төменгі ұзын бойы  шетіне тіктеу жылжиды.  Осыған байланысты дека үстінде әр минерал түйіршіктерді әртүрлі траекториямен  қозғалып веер жасайды. Мысалы кенде тығыздықтары әртүрлі  үш минерал болса үш «жол» пайда болады. әр «жолдың» шектескен жерінде екі аралық тығыздықты (әлі ажырамаған екі минералдан тұратын тұтас) түйіршіктер орналасады. Әр жолдағы фракцияны жеке науашықтарға түсіріп әртүрлі өнімдер (концентраттар, екі аралық өнімдер және қалдық) алынады.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extent cx="3147060" cy="17754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7060" cy="1775460"/>
                    </a:xfrm>
                    <a:prstGeom prst="rect">
                      <a:avLst/>
                    </a:prstGeom>
                    <a:noFill/>
                    <a:ln>
                      <a:noFill/>
                    </a:ln>
                  </pic:spPr>
                </pic:pic>
              </a:graphicData>
            </a:graphic>
          </wp:inline>
        </w:drawing>
      </w:r>
    </w:p>
    <w:p w:rsidR="001B47F4" w:rsidRPr="00DE3D5C" w:rsidRDefault="001B47F4" w:rsidP="001B47F4">
      <w:pPr>
        <w:tabs>
          <w:tab w:val="left" w:pos="708"/>
          <w:tab w:val="left" w:pos="1416"/>
          <w:tab w:val="left" w:pos="2674"/>
        </w:tabs>
        <w:spacing w:after="0" w:line="240" w:lineRule="auto"/>
        <w:ind w:firstLine="720"/>
        <w:jc w:val="center"/>
        <w:rPr>
          <w:rFonts w:ascii="Times New Roman" w:hAnsi="Times New Roman"/>
          <w:sz w:val="28"/>
          <w:szCs w:val="28"/>
          <w:lang w:val="kk-KZ"/>
        </w:rPr>
      </w:pPr>
      <w:r w:rsidRPr="00DE3D5C">
        <w:rPr>
          <w:rFonts w:ascii="Times New Roman" w:hAnsi="Times New Roman"/>
          <w:sz w:val="28"/>
          <w:szCs w:val="28"/>
          <w:lang w:val="kk-KZ"/>
        </w:rPr>
        <w:t>36-сурет. Жинағыш столда әртүрлі тығыздықты минерал түйіршіктеріне  күштердің әрекет ету бағыты.</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Судың ағызу күшін оның дека үстіне түсетін мөлшерін  вентиль арқылы өзгертуге болады.  Сонымен қабат оны су мөлшерін өзгертпей-ақ  тек деканың көлбеулігін өзгерту арқылы реттеуге болады. Көлбеулік артқан сайын судың ағызу күші де көбейеді.</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 Барлық процестердегідей  столда байытуда  салмақ күші де өзінің ролін атқарады. Ол стол үстінде тік бағытта әсер етеді. Салмақ артқан сайын түйіршіктердің дека бетіне басылуы күшейеді, демек үйкелу күші артады да түйіршіктердің декамен бірге бір жылдамдықпен қозғалуына әкеліп соғады.</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Әдетте стол үстіне бастапқы зат сумен аралас түседі (камералық классификатордан шыққан пульпа түрінде). Судың үлесі 60-85% мөлшерінде болады, ал науаға заттың бір тоннасына орта есеппен 1-2 т су түседі.</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Концентрациялау столдарын шартты түрде құмды және шламды столдар деп екіге бөледі. Ірілеу материалды байытқанда құмды столдар, ал өте ұсақ зат байытылғанда шламды столдар қолданылады. Олардың айырмашылығы сол құмды столдардың декасының көлбеулігі жоғары және рифлдерінің биіктігі үлкен болады.</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Отсадкалау машиналармен (мысалы диафрагмалы) салыстырғанда концентрациялау столдарында бірден таза концентрат алу оңайырақ және процестің қалай жүріп жатқаны тікелей көзге түседі. Ал олардың үлкен кемшіліктері бар. Біріншіден, олардың  өнімділігі көп төмен. екіншіден, деканың алатын ауданы мол. Оның ұзындығы 3-</w:t>
      </w:r>
      <w:smartTag w:uri="urn:schemas-microsoft-com:office:smarttags" w:element="metricconverter">
        <w:smartTagPr>
          <w:attr w:name="ProductID" w:val="4 м"/>
        </w:smartTagPr>
        <w:r w:rsidRPr="00DE3D5C">
          <w:rPr>
            <w:rFonts w:ascii="Times New Roman" w:hAnsi="Times New Roman"/>
            <w:sz w:val="28"/>
            <w:szCs w:val="28"/>
            <w:lang w:val="kk-KZ"/>
          </w:rPr>
          <w:t>4 м</w:t>
        </w:r>
      </w:smartTag>
      <w:r w:rsidRPr="00DE3D5C">
        <w:rPr>
          <w:rFonts w:ascii="Times New Roman" w:hAnsi="Times New Roman"/>
          <w:sz w:val="28"/>
          <w:szCs w:val="28"/>
          <w:lang w:val="kk-KZ"/>
        </w:rPr>
        <w:t>, ал көлденеңі 1,5-</w:t>
      </w:r>
      <w:smartTag w:uri="urn:schemas-microsoft-com:office:smarttags" w:element="metricconverter">
        <w:smartTagPr>
          <w:attr w:name="ProductID" w:val="2 м"/>
        </w:smartTagPr>
        <w:r w:rsidRPr="00DE3D5C">
          <w:rPr>
            <w:rFonts w:ascii="Times New Roman" w:hAnsi="Times New Roman"/>
            <w:sz w:val="28"/>
            <w:szCs w:val="28"/>
            <w:lang w:val="kk-KZ"/>
          </w:rPr>
          <w:t>2 м</w:t>
        </w:r>
      </w:smartTag>
      <w:r w:rsidRPr="00DE3D5C">
        <w:rPr>
          <w:rFonts w:ascii="Times New Roman" w:hAnsi="Times New Roman"/>
          <w:sz w:val="28"/>
          <w:szCs w:val="28"/>
          <w:lang w:val="kk-KZ"/>
        </w:rPr>
        <w:t xml:space="preserve">. Осыған байланысты қазір көпшілік байыту фабрикаларында (әсіресе өнімі жоғары) көп ярусты столдар қолданылады. Оларда декалар бірнеше ярусты болып орналасады (кейде 6 дека бірінің үстіне бірі орналасады).  Бастапқы пульпа барлық декаларға бірдей өтіп бөлінеді.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Камералық гидроклассификаторлардан шыққан кластар жеке-жеке столдарда байытылады. әр стол түсетін кластың ірілігіне сай режимде жұмыс істейді. Ірі класс байытылатын столдың қозғалу қашықтығы үлкен, ал тербеліс жылдамдығы аз болады және керісінше. Бұл параметрлерді  тәжірибе жүргізу арқылы табылған эмпирикалық формулаларды қолданып табуға болады: </w:t>
      </w: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p>
    <w:p w:rsidR="001B47F4" w:rsidRPr="00DE3D5C" w:rsidRDefault="001B47F4" w:rsidP="001B47F4">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lastRenderedPageBreak/>
        <w:t xml:space="preserve">    </w:t>
      </w:r>
      <w:r w:rsidRPr="00DE3D5C">
        <w:rPr>
          <w:rFonts w:ascii="Times New Roman" w:hAnsi="Times New Roman"/>
          <w:position w:val="-14"/>
          <w:sz w:val="28"/>
          <w:szCs w:val="28"/>
        </w:rPr>
        <w:object w:dxaOrig="1280" w:dyaOrig="420">
          <v:shape id="_x0000_i1026" type="#_x0000_t75" style="width:87.75pt;height:28.5pt" o:ole="">
            <v:imagedata r:id="rId9" o:title=""/>
          </v:shape>
          <o:OLEObject Type="Embed" ProgID="Equation.3" ShapeID="_x0000_i1026" DrawAspect="Content" ObjectID="_1484132471" r:id="rId10"/>
        </w:object>
      </w:r>
      <w:r w:rsidRPr="00DE3D5C">
        <w:rPr>
          <w:rFonts w:ascii="Times New Roman" w:hAnsi="Times New Roman"/>
          <w:sz w:val="28"/>
          <w:szCs w:val="28"/>
          <w:lang w:val="kk-KZ"/>
        </w:rPr>
        <w:t xml:space="preserve">     және     </w:t>
      </w:r>
      <w:r w:rsidRPr="00DE3D5C">
        <w:rPr>
          <w:rFonts w:ascii="Times New Roman" w:hAnsi="Times New Roman"/>
          <w:position w:val="-32"/>
          <w:sz w:val="28"/>
          <w:szCs w:val="28"/>
        </w:rPr>
        <w:object w:dxaOrig="1080" w:dyaOrig="700">
          <v:shape id="_x0000_i1027" type="#_x0000_t75" style="width:74.25pt;height:48pt" o:ole="">
            <v:imagedata r:id="rId11" o:title=""/>
          </v:shape>
          <o:OLEObject Type="Embed" ProgID="Equation.3" ShapeID="_x0000_i1027" DrawAspect="Content" ObjectID="_1484132472" r:id="rId12"/>
        </w:object>
      </w:r>
    </w:p>
    <w:p w:rsidR="001B47F4" w:rsidRPr="00DE3D5C" w:rsidRDefault="001B47F4" w:rsidP="001B47F4">
      <w:pPr>
        <w:spacing w:after="0" w:line="240" w:lineRule="auto"/>
        <w:rPr>
          <w:rFonts w:ascii="Times New Roman" w:hAnsi="Times New Roman"/>
          <w:sz w:val="28"/>
          <w:szCs w:val="28"/>
          <w:lang w:val="kk-KZ"/>
        </w:rPr>
      </w:pPr>
      <w:r w:rsidRPr="00DE3D5C">
        <w:rPr>
          <w:rFonts w:ascii="Times New Roman" w:hAnsi="Times New Roman"/>
          <w:sz w:val="28"/>
          <w:szCs w:val="28"/>
          <w:lang w:val="kk-KZ"/>
        </w:rPr>
        <w:t>Мұнда L-қозғалу қашықтығы, мм;</w:t>
      </w:r>
    </w:p>
    <w:p w:rsidR="001B47F4" w:rsidRPr="00DE3D5C" w:rsidRDefault="001B47F4" w:rsidP="001B47F4">
      <w:pPr>
        <w:spacing w:after="0" w:line="240" w:lineRule="auto"/>
        <w:rPr>
          <w:rFonts w:ascii="Times New Roman" w:hAnsi="Times New Roman"/>
          <w:sz w:val="28"/>
          <w:szCs w:val="28"/>
          <w:lang w:val="kk-KZ"/>
        </w:rPr>
      </w:pPr>
      <w:r w:rsidRPr="00DE3D5C">
        <w:rPr>
          <w:rFonts w:ascii="Times New Roman" w:hAnsi="Times New Roman"/>
          <w:sz w:val="28"/>
          <w:szCs w:val="28"/>
          <w:lang w:val="kk-KZ"/>
        </w:rPr>
        <w:t xml:space="preserve">             n-тербеліс саны, 1/мин</w:t>
      </w:r>
    </w:p>
    <w:p w:rsidR="001B47F4" w:rsidRPr="00DE3D5C" w:rsidRDefault="001B47F4" w:rsidP="001B47F4">
      <w:pPr>
        <w:spacing w:after="0" w:line="240" w:lineRule="auto"/>
        <w:ind w:firstLine="708"/>
        <w:rPr>
          <w:rFonts w:ascii="Times New Roman" w:hAnsi="Times New Roman"/>
          <w:sz w:val="28"/>
          <w:szCs w:val="28"/>
          <w:lang w:val="kk-KZ"/>
        </w:rPr>
      </w:pPr>
      <w:r w:rsidRPr="00DE3D5C">
        <w:rPr>
          <w:rFonts w:ascii="Times New Roman" w:hAnsi="Times New Roman"/>
          <w:sz w:val="28"/>
          <w:szCs w:val="28"/>
          <w:lang w:val="kk-KZ"/>
        </w:rPr>
        <w:t xml:space="preserve">  </w:t>
      </w:r>
      <w:r w:rsidRPr="00DE3D5C">
        <w:rPr>
          <w:rFonts w:ascii="Times New Roman" w:hAnsi="Times New Roman"/>
          <w:position w:val="-12"/>
          <w:sz w:val="28"/>
          <w:szCs w:val="28"/>
        </w:rPr>
        <w:object w:dxaOrig="460" w:dyaOrig="360">
          <v:shape id="_x0000_i1028" type="#_x0000_t75" style="width:23.25pt;height:18pt" o:ole="">
            <v:imagedata r:id="rId13" o:title=""/>
          </v:shape>
          <o:OLEObject Type="Embed" ProgID="Equation.3" ShapeID="_x0000_i1028" DrawAspect="Content" ObjectID="_1484132473" r:id="rId14"/>
        </w:object>
      </w:r>
      <w:r w:rsidRPr="00DE3D5C">
        <w:rPr>
          <w:rFonts w:ascii="Times New Roman" w:hAnsi="Times New Roman"/>
          <w:sz w:val="28"/>
          <w:szCs w:val="28"/>
          <w:lang w:val="kk-KZ"/>
        </w:rPr>
        <w:t>- байытылатын заттың ең ірі түйіршіктерінің диаметрі, мм.</w:t>
      </w:r>
    </w:p>
    <w:p w:rsidR="001B47F4" w:rsidRPr="00DE3D5C" w:rsidRDefault="001B47F4" w:rsidP="001B47F4">
      <w:pPr>
        <w:spacing w:after="0" w:line="240" w:lineRule="auto"/>
        <w:ind w:firstLine="708"/>
        <w:rPr>
          <w:rFonts w:ascii="Times New Roman" w:hAnsi="Times New Roman"/>
          <w:sz w:val="28"/>
          <w:szCs w:val="28"/>
          <w:lang w:val="kk-KZ"/>
        </w:rPr>
      </w:pPr>
      <w:r w:rsidRPr="00DE3D5C">
        <w:rPr>
          <w:rFonts w:ascii="Times New Roman" w:hAnsi="Times New Roman"/>
          <w:sz w:val="28"/>
          <w:szCs w:val="28"/>
          <w:lang w:val="kk-KZ"/>
        </w:rPr>
        <w:t>Концентрациялау столдардың үлесті өнімділігі заттың ірілігіне қарай орта есеппен 0,1-0,4 т/сағат *м 2 шегінде өзгереді. Үлесті өнімділікті төмендегі эмпирикалық формуламен мөлшерлеп табуға болады:</w:t>
      </w:r>
    </w:p>
    <w:p w:rsidR="001B47F4" w:rsidRPr="00DE3D5C" w:rsidRDefault="001B47F4" w:rsidP="001B47F4">
      <w:pPr>
        <w:spacing w:after="0" w:line="240" w:lineRule="auto"/>
        <w:ind w:firstLine="708"/>
        <w:rPr>
          <w:rFonts w:ascii="Times New Roman" w:hAnsi="Times New Roman"/>
          <w:sz w:val="28"/>
          <w:szCs w:val="28"/>
          <w:lang w:val="kk-KZ"/>
        </w:rPr>
      </w:pPr>
      <w:r w:rsidRPr="00DE3D5C">
        <w:rPr>
          <w:rFonts w:ascii="Times New Roman" w:hAnsi="Times New Roman"/>
          <w:sz w:val="28"/>
          <w:szCs w:val="28"/>
          <w:lang w:val="kk-KZ"/>
        </w:rPr>
        <w:t xml:space="preserve">                                </w:t>
      </w:r>
      <w:r w:rsidRPr="00DE3D5C">
        <w:rPr>
          <w:rFonts w:ascii="Times New Roman" w:hAnsi="Times New Roman"/>
          <w:position w:val="-12"/>
          <w:sz w:val="28"/>
          <w:szCs w:val="28"/>
        </w:rPr>
        <w:object w:dxaOrig="1140" w:dyaOrig="360">
          <v:shape id="_x0000_i1029" type="#_x0000_t75" style="width:78pt;height:24.75pt" o:ole="">
            <v:imagedata r:id="rId15" o:title=""/>
          </v:shape>
          <o:OLEObject Type="Embed" ProgID="Equation.3" ShapeID="_x0000_i1029" DrawAspect="Content" ObjectID="_1484132474" r:id="rId16"/>
        </w:object>
      </w:r>
    </w:p>
    <w:p w:rsidR="001B47F4" w:rsidRPr="00DE3D5C" w:rsidRDefault="001B47F4" w:rsidP="001B47F4">
      <w:pPr>
        <w:tabs>
          <w:tab w:val="left" w:pos="6751"/>
        </w:tabs>
        <w:spacing w:after="0" w:line="240" w:lineRule="auto"/>
        <w:rPr>
          <w:rFonts w:ascii="Times New Roman" w:hAnsi="Times New Roman"/>
          <w:sz w:val="28"/>
          <w:szCs w:val="28"/>
          <w:lang w:val="kk-KZ"/>
        </w:rPr>
      </w:pPr>
      <w:r w:rsidRPr="00DE3D5C">
        <w:rPr>
          <w:rFonts w:ascii="Times New Roman" w:hAnsi="Times New Roman"/>
          <w:sz w:val="28"/>
          <w:szCs w:val="28"/>
          <w:lang w:val="kk-KZ"/>
        </w:rPr>
        <w:t xml:space="preserve">мұнда </w:t>
      </w:r>
      <w:r w:rsidRPr="00DE3D5C">
        <w:rPr>
          <w:rFonts w:ascii="Times New Roman" w:hAnsi="Times New Roman"/>
          <w:position w:val="-12"/>
          <w:sz w:val="28"/>
          <w:szCs w:val="28"/>
        </w:rPr>
        <w:object w:dxaOrig="460" w:dyaOrig="360">
          <v:shape id="_x0000_i1030" type="#_x0000_t75" style="width:23.25pt;height:18pt" o:ole="">
            <v:imagedata r:id="rId17" o:title=""/>
          </v:shape>
          <o:OLEObject Type="Embed" ProgID="Equation.3" ShapeID="_x0000_i1030" DrawAspect="Content" ObjectID="_1484132475" r:id="rId18"/>
        </w:object>
      </w:r>
      <w:r w:rsidRPr="00DE3D5C">
        <w:rPr>
          <w:rFonts w:ascii="Times New Roman" w:hAnsi="Times New Roman"/>
          <w:sz w:val="28"/>
          <w:szCs w:val="28"/>
          <w:lang w:val="kk-KZ"/>
        </w:rPr>
        <w:t xml:space="preserve"> -ең ірі түйіршіктің диаметрі, мм.</w:t>
      </w:r>
    </w:p>
    <w:p w:rsidR="002278AC" w:rsidRPr="001B47F4" w:rsidRDefault="002278AC">
      <w:pPr>
        <w:rPr>
          <w:lang w:val="kk-KZ"/>
        </w:rPr>
      </w:pPr>
      <w:bookmarkStart w:id="0" w:name="_GoBack"/>
      <w:bookmarkEnd w:id="0"/>
    </w:p>
    <w:sectPr w:rsidR="002278AC" w:rsidRPr="001B47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E99"/>
    <w:rsid w:val="001B47F4"/>
    <w:rsid w:val="002278AC"/>
    <w:rsid w:val="009E3A5D"/>
    <w:rsid w:val="00E07E99"/>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7F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47F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47F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7F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47F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47F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wmf"/><Relationship Id="rId18" Type="http://schemas.openxmlformats.org/officeDocument/2006/relationships/oleObject" Target="embeddings/oleObject6.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image" Target="media/image8.wmf"/><Relationship Id="rId2" Type="http://schemas.microsoft.com/office/2007/relationships/stylesWithEffects" Target="stylesWithEffects.xml"/><Relationship Id="rId16" Type="http://schemas.openxmlformats.org/officeDocument/2006/relationships/oleObject" Target="embeddings/oleObject5.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wmf"/><Relationship Id="rId5" Type="http://schemas.openxmlformats.org/officeDocument/2006/relationships/image" Target="media/image1.png"/><Relationship Id="rId15" Type="http://schemas.openxmlformats.org/officeDocument/2006/relationships/image" Target="media/image7.w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1481</Words>
  <Characters>8442</Characters>
  <Application>Microsoft Office Word</Application>
  <DocSecurity>0</DocSecurity>
  <Lines>70</Lines>
  <Paragraphs>19</Paragraphs>
  <ScaleCrop>false</ScaleCrop>
  <Company>Home</Company>
  <LinksUpToDate>false</LinksUpToDate>
  <CharactersWithSpaces>9904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2015-01-30T08:15:00Z</dcterms:created>
  <dcterms:modified xsi:type="dcterms:W3CDTF">2015-01-30T08:15:00Z</dcterms:modified>
</cp:coreProperties>
</file>